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</w:p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  <w:r w:rsidRPr="00FA5A2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7153910</wp:posOffset>
                </wp:positionH>
                <wp:positionV relativeFrom="paragraph">
                  <wp:posOffset>12065</wp:posOffset>
                </wp:positionV>
                <wp:extent cx="32099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25" w:rsidRDefault="00FA5A25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6252FE" wp14:editId="5816E005">
                                  <wp:extent cx="1076325" cy="723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bor tr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3pt;margin-top:.95pt;width:25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" strokecolor="white [3212]">
                <v:textbox style="mso-fit-shape-to-text:t">
                  <w:txbxContent>
                    <w:p w:rsidR="00FA5A25" w:rsidRDefault="00FA5A25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6252FE" wp14:editId="5816E005">
                            <wp:extent cx="1076325" cy="723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bor tr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2108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7945120</wp:posOffset>
                </wp:positionH>
                <wp:positionV relativeFrom="paragraph">
                  <wp:posOffset>207644</wp:posOffset>
                </wp:positionV>
                <wp:extent cx="21621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A25" w:rsidRPr="00FA5A25" w:rsidRDefault="00FA5A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A25">
                              <w:rPr>
                                <w:sz w:val="20"/>
                                <w:szCs w:val="20"/>
                              </w:rPr>
                              <w:t>EBOR 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5.6pt;margin-top:16.35pt;width:17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" fillcolor="white [3201]" stroked="f" strokeweight=".5pt">
                <v:textbox>
                  <w:txbxContent>
                    <w:p w:rsidR="00FA5A25" w:rsidRPr="00FA5A25" w:rsidRDefault="00FA5A25">
                      <w:pPr>
                        <w:rPr>
                          <w:sz w:val="20"/>
                          <w:szCs w:val="20"/>
                        </w:rPr>
                      </w:pPr>
                      <w:r w:rsidRPr="00FA5A25">
                        <w:rPr>
                          <w:sz w:val="20"/>
                          <w:szCs w:val="20"/>
                        </w:rPr>
                        <w:t>EBOR ACADEMY TRUST</w:t>
                      </w:r>
                    </w:p>
                  </w:txbxContent>
                </v:textbox>
              </v:shape>
            </w:pict>
          </mc:Fallback>
        </mc:AlternateContent>
      </w:r>
      <w:r w:rsidR="000F7361" w:rsidRPr="008F0647">
        <w:rPr>
          <w:noProof/>
        </w:rPr>
        <w:drawing>
          <wp:anchor distT="0" distB="0" distL="114300" distR="114300" simplePos="0" relativeHeight="251659264" behindDoc="0" locked="0" layoutInCell="1" allowOverlap="1" wp14:anchorId="3C4DD679" wp14:editId="1129B022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923925" cy="1171575"/>
            <wp:effectExtent l="0" t="0" r="9525" b="9525"/>
            <wp:wrapNone/>
            <wp:docPr id="1" name="Picture 1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FILEY CE NURSERY &amp; INFANTS ACADEMY</w:t>
      </w:r>
    </w:p>
    <w:p w:rsidR="00C21F62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PUPIL PREMIUM STRATEGY STATEMENT</w:t>
      </w:r>
    </w:p>
    <w:p w:rsidR="00C21F62" w:rsidRDefault="00C21F62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1305"/>
      </w:tblGrid>
      <w:tr w:rsidR="00C21F62" w:rsidRPr="00326C32" w:rsidTr="00161442">
        <w:trPr>
          <w:trHeight w:hRule="exact" w:val="340"/>
        </w:trPr>
        <w:tc>
          <w:tcPr>
            <w:tcW w:w="15730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21F62" w:rsidRPr="00326C32" w:rsidRDefault="00C21F62" w:rsidP="00C21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787" w:type="dxa"/>
            <w:gridSpan w:val="5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Filey</w:t>
            </w:r>
            <w:proofErr w:type="spellEnd"/>
            <w:r>
              <w:rPr>
                <w:rFonts w:cs="Arial"/>
              </w:rPr>
              <w:t xml:space="preserve"> Church of England Nursery &amp; Infants Academy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3B2D2F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3B2D2F">
              <w:rPr>
                <w:rFonts w:cs="Arial"/>
              </w:rPr>
              <w:t>8</w:t>
            </w:r>
            <w:r>
              <w:rPr>
                <w:rFonts w:cs="Arial"/>
              </w:rPr>
              <w:t>/1</w:t>
            </w:r>
            <w:r w:rsidR="003B2D2F">
              <w:rPr>
                <w:rFonts w:cs="Arial"/>
              </w:rPr>
              <w:t>9</w:t>
            </w:r>
            <w:bookmarkStart w:id="0" w:name="_GoBack"/>
            <w:bookmarkEnd w:id="0"/>
          </w:p>
        </w:tc>
        <w:tc>
          <w:tcPr>
            <w:tcW w:w="3968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>
              <w:rPr>
                <w:rFonts w:cs="Arial"/>
              </w:rPr>
              <w:t>£58080</w:t>
            </w:r>
          </w:p>
        </w:tc>
        <w:tc>
          <w:tcPr>
            <w:tcW w:w="5245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305" w:type="dxa"/>
          </w:tcPr>
          <w:p w:rsidR="00C21F62" w:rsidRPr="00326C32" w:rsidRDefault="00FB1286" w:rsidP="006C49F6">
            <w:pPr>
              <w:rPr>
                <w:rFonts w:cs="Arial"/>
              </w:rPr>
            </w:pPr>
            <w:r>
              <w:rPr>
                <w:rFonts w:cs="Arial"/>
              </w:rPr>
              <w:t>28/9/18</w:t>
            </w:r>
          </w:p>
        </w:tc>
      </w:tr>
      <w:tr w:rsidR="00C21F62" w:rsidRPr="00326C32" w:rsidTr="00161442">
        <w:trPr>
          <w:trHeight w:hRule="exact" w:val="781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261</w:t>
            </w:r>
          </w:p>
        </w:tc>
        <w:tc>
          <w:tcPr>
            <w:tcW w:w="3968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26% (68)</w:t>
            </w:r>
          </w:p>
        </w:tc>
        <w:tc>
          <w:tcPr>
            <w:tcW w:w="5245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305" w:type="dxa"/>
          </w:tcPr>
          <w:p w:rsidR="00C21F62" w:rsidRPr="00326C32" w:rsidRDefault="00FB1286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Spring 2019</w:t>
            </w:r>
          </w:p>
        </w:tc>
      </w:tr>
    </w:tbl>
    <w:p w:rsidR="00C21F62" w:rsidRDefault="00C21F62">
      <w:r w:rsidRPr="00C21F62">
        <w:rPr>
          <w:b/>
          <w:u w:val="single"/>
        </w:rPr>
        <w:t>Whole School 2017</w:t>
      </w:r>
      <w:r w:rsidR="006372ED">
        <w:rPr>
          <w:b/>
          <w:u w:val="single"/>
        </w:rPr>
        <w:t>/18</w:t>
      </w:r>
      <w:r w:rsidRPr="00C21F62">
        <w:rPr>
          <w:b/>
          <w:u w:val="single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14"/>
        <w:gridCol w:w="1495"/>
        <w:gridCol w:w="428"/>
        <w:gridCol w:w="1282"/>
        <w:gridCol w:w="641"/>
        <w:gridCol w:w="1069"/>
        <w:gridCol w:w="854"/>
        <w:gridCol w:w="856"/>
        <w:gridCol w:w="1068"/>
        <w:gridCol w:w="642"/>
        <w:gridCol w:w="1282"/>
        <w:gridCol w:w="428"/>
        <w:gridCol w:w="1496"/>
        <w:gridCol w:w="214"/>
        <w:gridCol w:w="2052"/>
      </w:tblGrid>
      <w:tr w:rsidR="00C21F62" w:rsidTr="00161442">
        <w:tc>
          <w:tcPr>
            <w:tcW w:w="7692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Reading, Writing &amp; Maths – Year 2</w:t>
            </w:r>
          </w:p>
        </w:tc>
        <w:tc>
          <w:tcPr>
            <w:tcW w:w="8038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GLD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Reading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Writing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Maths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 xml:space="preserve">National 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National Gap</w:t>
            </w:r>
          </w:p>
        </w:tc>
        <w:tc>
          <w:tcPr>
            <w:tcW w:w="2266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 Gap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Default="00C21F62"/>
        </w:tc>
        <w:tc>
          <w:tcPr>
            <w:tcW w:w="1923" w:type="dxa"/>
            <w:gridSpan w:val="2"/>
          </w:tcPr>
          <w:p w:rsidR="00C21F62" w:rsidRDefault="00C21F62">
            <w:r>
              <w:t>73%</w:t>
            </w:r>
          </w:p>
        </w:tc>
        <w:tc>
          <w:tcPr>
            <w:tcW w:w="1923" w:type="dxa"/>
            <w:gridSpan w:val="2"/>
          </w:tcPr>
          <w:p w:rsidR="00C21F62" w:rsidRDefault="00C21F62">
            <w:r>
              <w:t>77%</w:t>
            </w:r>
          </w:p>
        </w:tc>
        <w:tc>
          <w:tcPr>
            <w:tcW w:w="1923" w:type="dxa"/>
            <w:gridSpan w:val="2"/>
          </w:tcPr>
          <w:p w:rsidR="00C21F62" w:rsidRDefault="00C21F62">
            <w:r>
              <w:t>76%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60%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72%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+12%</w:t>
            </w:r>
          </w:p>
        </w:tc>
        <w:tc>
          <w:tcPr>
            <w:tcW w:w="2266" w:type="dxa"/>
            <w:gridSpan w:val="2"/>
          </w:tcPr>
          <w:p w:rsidR="00C21F62" w:rsidRDefault="00C21F62">
            <w:r>
              <w:t>-12%</w:t>
            </w:r>
          </w:p>
        </w:tc>
      </w:tr>
      <w:tr w:rsidR="008B3CA2" w:rsidTr="00161442">
        <w:trPr>
          <w:trHeight w:val="354"/>
        </w:trPr>
        <w:tc>
          <w:tcPr>
            <w:tcW w:w="15730" w:type="dxa"/>
            <w:gridSpan w:val="16"/>
            <w:shd w:val="clear" w:color="auto" w:fill="D5DCE4" w:themeFill="text2" w:themeFillTint="33"/>
          </w:tcPr>
          <w:p w:rsidR="008B3CA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2. CURRENT ATTAINMENT-PUPIL PREMIUM</w:t>
            </w:r>
          </w:p>
        </w:tc>
      </w:tr>
      <w:tr w:rsidR="008B3CA2" w:rsidTr="00161442">
        <w:tc>
          <w:tcPr>
            <w:tcW w:w="1709" w:type="dxa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Year 2</w:t>
            </w:r>
          </w:p>
        </w:tc>
        <w:tc>
          <w:tcPr>
            <w:tcW w:w="6839" w:type="dxa"/>
            <w:gridSpan w:val="8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Expected Standard</w:t>
            </w:r>
          </w:p>
        </w:tc>
        <w:tc>
          <w:tcPr>
            <w:tcW w:w="7182" w:type="dxa"/>
            <w:gridSpan w:val="7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High Standard</w:t>
            </w:r>
            <w:r w:rsidR="00A07E80">
              <w:rPr>
                <w:b/>
              </w:rPr>
              <w:t xml:space="preserve"> - GD</w:t>
            </w:r>
          </w:p>
        </w:tc>
      </w:tr>
      <w:tr w:rsidR="00C21F62" w:rsidTr="00184A13">
        <w:trPr>
          <w:trHeight w:val="800"/>
        </w:trPr>
        <w:tc>
          <w:tcPr>
            <w:tcW w:w="1709" w:type="dxa"/>
          </w:tcPr>
          <w:p w:rsidR="00C21F62" w:rsidRDefault="00C21F62"/>
        </w:tc>
        <w:tc>
          <w:tcPr>
            <w:tcW w:w="1709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2052" w:type="dxa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Reading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24%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Writing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81%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+ 10%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721359" w:rsidRDefault="00721359" w:rsidP="00721359">
            <w:pPr>
              <w:ind w:left="360"/>
              <w:jc w:val="center"/>
              <w:rPr>
                <w:b/>
              </w:rPr>
            </w:pPr>
            <w:r w:rsidRPr="00721359"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Maths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+ 10%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14%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1F62" w:rsidTr="00FB1286">
        <w:trPr>
          <w:trHeight w:val="528"/>
        </w:trPr>
        <w:tc>
          <w:tcPr>
            <w:tcW w:w="1709" w:type="dxa"/>
          </w:tcPr>
          <w:p w:rsidR="00C21F62" w:rsidRPr="00A07E80" w:rsidRDefault="008B3CA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RWM Combined</w:t>
            </w:r>
            <w:r w:rsidR="00184A1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  <w:gridSpan w:val="2"/>
          </w:tcPr>
          <w:p w:rsidR="00C21F62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A7444" w:rsidRPr="00A07E80" w:rsidRDefault="003A7444" w:rsidP="00A07E8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lastRenderedPageBreak/>
              <w:t>55%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2" w:type="dxa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leGrid"/>
        <w:tblpPr w:leftFromText="180" w:rightFromText="180" w:vertAnchor="page" w:horzAnchor="margin" w:tblpX="137" w:tblpY="931"/>
        <w:tblW w:w="15593" w:type="dxa"/>
        <w:tblLook w:val="04A0" w:firstRow="1" w:lastRow="0" w:firstColumn="1" w:lastColumn="0" w:noHBand="0" w:noVBand="1"/>
      </w:tblPr>
      <w:tblGrid>
        <w:gridCol w:w="690"/>
        <w:gridCol w:w="45"/>
        <w:gridCol w:w="6845"/>
        <w:gridCol w:w="8013"/>
      </w:tblGrid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   </w:t>
            </w:r>
            <w:r w:rsidRPr="00C21F6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A07E80" w:rsidRPr="00326C32" w:rsidTr="00D01E30">
        <w:trPr>
          <w:trHeight w:hRule="exact" w:val="1194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AF1724" w:rsidRDefault="00A07E80" w:rsidP="00D01E30">
            <w:pPr>
              <w:pStyle w:val="TableRow"/>
            </w:pPr>
            <w:r w:rsidRPr="00AF1724">
              <w:t xml:space="preserve">CEM Baseline results identify Pupil premium Literacy as a target area for group development with 11% (1 child out of 9) on track </w:t>
            </w:r>
          </w:p>
          <w:p w:rsidR="00A07E80" w:rsidRDefault="00A07E80" w:rsidP="00D01E30">
            <w:pPr>
              <w:pStyle w:val="TableRow"/>
            </w:pPr>
            <w:r w:rsidRPr="00AF1724">
              <w:t>to meet ELG in Reading July 2019</w:t>
            </w:r>
          </w:p>
          <w:p w:rsidR="000D237A" w:rsidRDefault="000D237A" w:rsidP="00D01E30">
            <w:pPr>
              <w:pStyle w:val="TableRow"/>
            </w:pPr>
            <w:r>
              <w:t>Continue to deliver speech and language support from entry to school in the EYFS and throughout the year groups.</w:t>
            </w:r>
          </w:p>
          <w:p w:rsidR="000D237A" w:rsidRPr="00326C32" w:rsidRDefault="000D237A" w:rsidP="00D01E30">
            <w:pPr>
              <w:pStyle w:val="TableRow"/>
            </w:pPr>
          </w:p>
        </w:tc>
      </w:tr>
      <w:tr w:rsidR="00A07E80" w:rsidRPr="00326C32" w:rsidTr="00D01E30">
        <w:trPr>
          <w:trHeight w:hRule="exact" w:val="86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326C32" w:rsidRDefault="00A07E80" w:rsidP="00D01E30">
            <w:pPr>
              <w:pStyle w:val="TableRow"/>
            </w:pPr>
            <w:r>
              <w:t>Initial Year 1 Phonic Screening shows that 26% (5 out of 19 children) of Pupil Premium are on track to meet the expected standard in the Phonic Screening Check July 2019</w:t>
            </w:r>
          </w:p>
        </w:tc>
      </w:tr>
      <w:tr w:rsidR="00A07E80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858" w:type="dxa"/>
            <w:gridSpan w:val="2"/>
          </w:tcPr>
          <w:p w:rsidR="00A07E80" w:rsidRDefault="00A07E80" w:rsidP="00D01E30">
            <w:pPr>
              <w:pStyle w:val="TableRow"/>
            </w:pPr>
            <w:r>
              <w:t>38% (8 out of 21) of Year 2 Pupil Premium children are on track to meet the expected standard in Writing and Maths in July 2019</w:t>
            </w:r>
          </w:p>
          <w:p w:rsidR="000D237A" w:rsidRPr="00326C32" w:rsidRDefault="000D237A" w:rsidP="00D01E30">
            <w:pPr>
              <w:pStyle w:val="TableRow"/>
            </w:pPr>
            <w:r>
              <w:t xml:space="preserve">Develop mathematics across the school to allow children to access the </w:t>
            </w:r>
            <w:r w:rsidR="00FB1286">
              <w:t>m</w:t>
            </w:r>
            <w:r>
              <w:t>astery</w:t>
            </w:r>
            <w:r w:rsidR="00FB1286">
              <w:t xml:space="preserve"> level questions</w:t>
            </w:r>
            <w:r>
              <w:t xml:space="preserve">. 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Pr="00326C32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Create experiences that widen the children’s vocabulary through a creative curriculum.</w:t>
            </w:r>
          </w:p>
          <w:p w:rsidR="000D237A" w:rsidRDefault="000D237A" w:rsidP="00D01E30">
            <w:pPr>
              <w:pStyle w:val="TableRow"/>
            </w:pPr>
            <w:r>
              <w:t>Continue to develop writing and give children the passion to write especially pupil premium boys.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Foster self-esteem in all pupils through the comprehensi</w:t>
            </w:r>
            <w:r w:rsidR="00FB1286">
              <w:t>ve</w:t>
            </w:r>
            <w:r>
              <w:t xml:space="preserve"> school approach to develop the whole child, not just academic achievements.   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7580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   </w:t>
            </w:r>
            <w:r w:rsidRPr="00C21F62">
              <w:rPr>
                <w:rFonts w:cs="Arial"/>
                <w:b/>
              </w:rPr>
              <w:t>Desired outcomes how they will be measured</w:t>
            </w:r>
          </w:p>
        </w:tc>
        <w:tc>
          <w:tcPr>
            <w:tcW w:w="8013" w:type="dxa"/>
            <w:shd w:val="clear" w:color="auto" w:fill="CFDCE3"/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A07E80" w:rsidRPr="00326C32" w:rsidTr="00D01E30">
        <w:trPr>
          <w:trHeight w:hRule="exact" w:val="896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33% of </w:t>
            </w:r>
            <w:r w:rsidR="00FB1286">
              <w:t>pupil premium</w:t>
            </w:r>
            <w:r>
              <w:t xml:space="preserve"> children will achieve ELG in Reading instead of the 11% on track in Autumn 2018</w:t>
            </w:r>
          </w:p>
        </w:tc>
        <w:tc>
          <w:tcPr>
            <w:tcW w:w="8013" w:type="dxa"/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in Reception will achieve ELG in Reading July 2019</w:t>
            </w:r>
          </w:p>
        </w:tc>
      </w:tr>
      <w:tr w:rsidR="00A07E80" w:rsidRPr="00326C32" w:rsidTr="00D01E30">
        <w:trPr>
          <w:trHeight w:hRule="exact" w:val="86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47% of </w:t>
            </w:r>
            <w:r w:rsidR="00FB1286">
              <w:t>pupil premium</w:t>
            </w:r>
            <w:r>
              <w:t xml:space="preserve"> children will pass the Phonic Screening check instead of the 26% on track in Autumn 2018</w:t>
            </w:r>
          </w:p>
        </w:tc>
        <w:tc>
          <w:tcPr>
            <w:tcW w:w="8013" w:type="dxa"/>
          </w:tcPr>
          <w:p w:rsidR="00A07E80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pass the Phonic Screening check in July 2019</w:t>
            </w:r>
          </w:p>
          <w:p w:rsidR="00A07E80" w:rsidRDefault="00A07E80" w:rsidP="00D01E30">
            <w:pPr>
              <w:rPr>
                <w:rFonts w:cs="Arial"/>
              </w:rPr>
            </w:pPr>
          </w:p>
          <w:p w:rsidR="00A07E80" w:rsidRPr="00326C32" w:rsidRDefault="00A07E80" w:rsidP="00D01E30">
            <w:pPr>
              <w:rPr>
                <w:rFonts w:cs="Arial"/>
              </w:rPr>
            </w:pPr>
          </w:p>
        </w:tc>
      </w:tr>
      <w:tr w:rsidR="00A07E80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67% of </w:t>
            </w:r>
            <w:r w:rsidR="00FB1286">
              <w:t>pupil premium</w:t>
            </w:r>
            <w:r>
              <w:t xml:space="preserve"> children will achieve the expected standard in Writing and Maths at the end of Year 2 July 2019 instead of 38% on track in Autumn 2018</w:t>
            </w:r>
          </w:p>
        </w:tc>
        <w:tc>
          <w:tcPr>
            <w:tcW w:w="8013" w:type="dxa"/>
          </w:tcPr>
          <w:p w:rsidR="00FE71D1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meet the expected standard in Writing and Maths at the end of Year 2 July 2019</w:t>
            </w:r>
            <w:r w:rsidR="00FE71D1">
              <w:rPr>
                <w:rFonts w:cs="Arial"/>
              </w:rPr>
              <w:t xml:space="preserve">. The progress of eligible pupil premium </w:t>
            </w:r>
            <w:r w:rsidR="00FB1286">
              <w:rPr>
                <w:rFonts w:cs="Arial"/>
              </w:rPr>
              <w:t>children</w:t>
            </w:r>
            <w:r w:rsidR="00FE71D1">
              <w:rPr>
                <w:rFonts w:cs="Arial"/>
              </w:rPr>
              <w:t xml:space="preserve"> will be in line with non-eligible pupils as they become more confident and focused in lessons. </w:t>
            </w:r>
          </w:p>
        </w:tc>
      </w:tr>
      <w:tr w:rsidR="0068793A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>Increase pupil confidence and passion for writing.</w:t>
            </w:r>
          </w:p>
          <w:p w:rsidR="0068793A" w:rsidRDefault="0068793A" w:rsidP="00D01E30">
            <w:pPr>
              <w:pStyle w:val="TableRow"/>
            </w:pPr>
            <w:r>
              <w:t xml:space="preserve">Increase in pupil premium children especially boys achieving the expected standard in writing. 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and class enterprise opportunities.   </w:t>
            </w:r>
          </w:p>
        </w:tc>
      </w:tr>
      <w:tr w:rsidR="0068793A" w:rsidRPr="00326C32" w:rsidTr="00D01E30">
        <w:trPr>
          <w:trHeight w:hRule="exact" w:val="1149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 xml:space="preserve">Children will have a wealth of extra-curricular activities to raise self-esteem and support the development of the whole child.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develop socially and benefit from raised self-esteem with confidence in their own abilities.   </w:t>
            </w:r>
          </w:p>
        </w:tc>
      </w:tr>
      <w:tr w:rsidR="00A07E80" w:rsidRPr="00326C32" w:rsidTr="00D01E30">
        <w:trPr>
          <w:trHeight w:hRule="exact" w:val="164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903" w:type="dxa"/>
            <w:gridSpan w:val="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>The above groups of children will receive quality 1</w:t>
            </w:r>
            <w:r w:rsidRPr="008E33D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class teaching and appropriate booster groups/interventions to increase the number of Pupil Premium children achieving the expected standard at the end of Reception, Year 1 and Year 2. These vulnerable groups will be highlighted during Pupil Progress Meetings and monitored </w:t>
            </w:r>
            <w:r w:rsidR="00721359">
              <w:rPr>
                <w:rFonts w:cs="Arial"/>
              </w:rPr>
              <w:t>cl</w:t>
            </w:r>
            <w:r>
              <w:rPr>
                <w:rFonts w:cs="Arial"/>
              </w:rPr>
              <w:t>osely throughout the year.</w:t>
            </w:r>
            <w:r w:rsidR="0068793A">
              <w:rPr>
                <w:rFonts w:cs="Arial"/>
              </w:rPr>
              <w:t xml:space="preserve"> A wealth of extra-curricular activities and nurture </w:t>
            </w:r>
            <w:r w:rsidR="00595420">
              <w:rPr>
                <w:rFonts w:cs="Arial"/>
              </w:rPr>
              <w:t>groups will support the development of pupil self-esteem.</w:t>
            </w:r>
          </w:p>
        </w:tc>
      </w:tr>
    </w:tbl>
    <w:p w:rsidR="00C21F62" w:rsidRDefault="00C21F62"/>
    <w:p w:rsidR="00A07E80" w:rsidRDefault="00A07E80"/>
    <w:p w:rsidR="00A07E80" w:rsidRDefault="00A07E80"/>
    <w:p w:rsidR="00A07E80" w:rsidRDefault="00A07E80"/>
    <w:tbl>
      <w:tblPr>
        <w:tblStyle w:val="TableGrid"/>
        <w:tblW w:w="160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596"/>
        <w:gridCol w:w="2835"/>
        <w:gridCol w:w="2976"/>
        <w:gridCol w:w="3686"/>
        <w:gridCol w:w="850"/>
        <w:gridCol w:w="2552"/>
      </w:tblGrid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  P</w:t>
            </w:r>
            <w:r w:rsidR="00A07E80" w:rsidRPr="000F7361">
              <w:rPr>
                <w:rFonts w:cs="Arial"/>
                <w:b/>
              </w:rPr>
              <w:t xml:space="preserve">lanned expenditure </w:t>
            </w:r>
          </w:p>
        </w:tc>
      </w:tr>
      <w:tr w:rsidR="00A07E80" w:rsidRPr="00326C32" w:rsidTr="00D01E30">
        <w:trPr>
          <w:trHeight w:hRule="exact" w:val="378"/>
        </w:trPr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326C32" w:rsidRDefault="00A07E80" w:rsidP="006C49F6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3495" w:type="dxa"/>
            <w:gridSpan w:val="6"/>
            <w:shd w:val="clear" w:color="auto" w:fill="auto"/>
          </w:tcPr>
          <w:p w:rsidR="00A07E80" w:rsidRPr="00326C32" w:rsidRDefault="00A07E80" w:rsidP="006C49F6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2018/2019</w:t>
            </w:r>
          </w:p>
        </w:tc>
      </w:tr>
      <w:tr w:rsidR="00A07E80" w:rsidRPr="00326C32" w:rsidTr="00D01E30">
        <w:trPr>
          <w:trHeight w:hRule="exact" w:val="653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rPr>
                <w:rFonts w:cs="Arial"/>
                <w:sz w:val="20"/>
                <w:szCs w:val="20"/>
              </w:rPr>
            </w:pPr>
            <w:r w:rsidRPr="00A07E80">
              <w:rPr>
                <w:rFonts w:cs="Arial"/>
                <w:sz w:val="20"/>
                <w:szCs w:val="20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72135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 the level of attainment of GLD for pupil premium children.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of eligible pupil premium children will be in line with non-eligible pupils as they become confident and focused in lessons.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Pr="00A07E80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phonics.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ECAT</w:t>
            </w:r>
          </w:p>
          <w:p w:rsidR="00721359" w:rsidRPr="00721359" w:rsidRDefault="00721359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72135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extend pupil vocabulary.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B405FE" w:rsidRDefault="00B405FE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B405FE" w:rsidRPr="00A07E80" w:rsidRDefault="00B405FE" w:rsidP="00B405F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 creative thinking and talking leading to early creative writing.  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B405FE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53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B405FE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Increase the number of year one children </w:t>
            </w:r>
            <w:r w:rsidR="00A86E9F">
              <w:rPr>
                <w:rFonts w:cs="Arial"/>
                <w:sz w:val="22"/>
                <w:szCs w:val="22"/>
              </w:rPr>
              <w:t>passing the phonic screening check particularly pupil premium children.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A86E9F" w:rsidRPr="00A07E80" w:rsidRDefault="00A86E9F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Increase the number of </w:t>
            </w:r>
            <w:r w:rsidR="00FE71D1">
              <w:rPr>
                <w:rFonts w:cs="Arial"/>
                <w:sz w:val="22"/>
                <w:szCs w:val="22"/>
              </w:rPr>
              <w:t xml:space="preserve">pupil premium </w:t>
            </w:r>
            <w:r>
              <w:rPr>
                <w:rFonts w:cs="Arial"/>
                <w:sz w:val="22"/>
                <w:szCs w:val="22"/>
              </w:rPr>
              <w:t>children achieving the expected standard in writing and maths at the end of year 2</w:t>
            </w:r>
            <w:r w:rsidR="00FE71D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 Whole class phonics. Small group Phonic booster activities.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use of Mighty Writer to develop creative thinking and structure for writing.</w:t>
            </w:r>
          </w:p>
          <w:p w:rsidR="00A86E9F" w:rsidRP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 White Rose planning materials and Maths No Problem activity books to develop mathematical skills and </w:t>
            </w:r>
            <w:r w:rsidR="00973735">
              <w:rPr>
                <w:rFonts w:cs="Arial"/>
                <w:sz w:val="22"/>
                <w:szCs w:val="22"/>
              </w:rPr>
              <w:t>problem solving.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use Mighty Writer as a resource developing creative thinking and structure for writing.    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use mathematical knowledge and skills to problem solve.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A86E9F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A86E9F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2491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budgeted</w:t>
            </w:r>
          </w:p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ECAT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A86ADE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A86ADE">
              <w:rPr>
                <w:rFonts w:cs="Arial"/>
                <w:b/>
                <w:sz w:val="22"/>
                <w:szCs w:val="22"/>
              </w:rPr>
              <w:t>Daily Reading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Mighty Writer Resources and Staffing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Phonic Booster Group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White Rose &amp; Maths ‘No Problem’ resources &amp; planning costs</w:t>
            </w:r>
          </w:p>
          <w:p w:rsidR="003A7444" w:rsidRPr="00A07E80" w:rsidRDefault="003A7444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3A7444" w:rsidRDefault="003A7444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ADE" w:rsidRDefault="00A86AD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 300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A86ADE">
              <w:rPr>
                <w:rFonts w:cs="Arial"/>
                <w:b/>
                <w:sz w:val="22"/>
                <w:szCs w:val="22"/>
              </w:rPr>
              <w:t>2</w:t>
            </w:r>
            <w:r w:rsidRPr="003A7444">
              <w:rPr>
                <w:rFonts w:cs="Arial"/>
                <w:b/>
                <w:sz w:val="22"/>
                <w:szCs w:val="22"/>
              </w:rPr>
              <w:t>697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6507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3705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    775</w:t>
            </w:r>
          </w:p>
          <w:p w:rsidR="003A7444" w:rsidRPr="003A7444" w:rsidRDefault="003A7444" w:rsidP="00A86ADE">
            <w:pPr>
              <w:spacing w:after="0"/>
              <w:rPr>
                <w:rFonts w:cs="Arial"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£1</w:t>
            </w:r>
            <w:r w:rsidR="00A86ADE">
              <w:rPr>
                <w:rFonts w:cs="Arial"/>
                <w:b/>
                <w:sz w:val="22"/>
                <w:szCs w:val="22"/>
                <w:u w:val="single"/>
              </w:rPr>
              <w:t>3</w:t>
            </w: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964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10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 the number of year 2 children achieving the expected standard in maths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Numbers Count</w:t>
            </w:r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613F42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CA1A94" w:rsidP="00D01E3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increase confidence and develop skills</w:t>
            </w:r>
            <w:r w:rsidR="00D01E30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knowledge in mathematics </w:t>
            </w:r>
            <w:r w:rsidR="00D10673">
              <w:rPr>
                <w:rFonts w:cs="Arial"/>
                <w:sz w:val="22"/>
                <w:szCs w:val="22"/>
              </w:rPr>
              <w:t>to allow pupil premium children to access the higher level mastery questions.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D1067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AJ</w:t>
            </w:r>
          </w:p>
          <w:p w:rsidR="00D10673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</w:t>
            </w:r>
          </w:p>
          <w:p w:rsidR="00123569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205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Increase the number of year 2 children achieving the expected standard in writing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84A1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Joseph Theatre Outreach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Talk Boost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Lexia</w:t>
            </w:r>
            <w:proofErr w:type="spellEnd"/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increase pupil confidence and knowledge through small group activities and targeted support.  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FE71D1" w:rsidRDefault="00FE71D1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Targeted support data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Pr="00A07E80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19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0.5FTE Booster/Number Count Teacher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1</w:t>
            </w:r>
            <w:r w:rsidRPr="00F378A3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Pr="00F378A3">
              <w:rPr>
                <w:rFonts w:cs="Arial"/>
                <w:b/>
                <w:sz w:val="22"/>
                <w:szCs w:val="22"/>
              </w:rPr>
              <w:t xml:space="preserve"> Class @ Number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 xml:space="preserve">Read, Write, </w:t>
            </w:r>
            <w:proofErr w:type="spellStart"/>
            <w:r w:rsidRPr="00F378A3">
              <w:rPr>
                <w:rFonts w:cs="Arial"/>
                <w:b/>
                <w:sz w:val="22"/>
                <w:szCs w:val="22"/>
              </w:rPr>
              <w:t>Inc</w:t>
            </w:r>
            <w:proofErr w:type="spellEnd"/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Reading Intervention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Talk Boost</w:t>
            </w:r>
          </w:p>
          <w:p w:rsidR="00A86ADE" w:rsidRDefault="00D77B95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Stephen Joseph Theatre Outreach</w:t>
            </w:r>
          </w:p>
          <w:p w:rsidR="00D77B95" w:rsidRPr="00F378A3" w:rsidRDefault="00D77B95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Lexia</w:t>
            </w:r>
            <w:proofErr w:type="spellEnd"/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F378A3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£23922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2342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1389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1083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1482</w:t>
            </w:r>
          </w:p>
          <w:p w:rsidR="00D77B95" w:rsidRPr="00D77B95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77B95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D77B95" w:rsidRPr="00D77B95">
              <w:rPr>
                <w:rFonts w:cs="Arial"/>
                <w:b/>
                <w:sz w:val="22"/>
                <w:szCs w:val="22"/>
              </w:rPr>
              <w:t>3000</w:t>
            </w:r>
          </w:p>
          <w:p w:rsidR="00A86ADE" w:rsidRDefault="00A86ADE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F378A3">
              <w:rPr>
                <w:rFonts w:cs="Arial"/>
                <w:b/>
                <w:sz w:val="22"/>
                <w:szCs w:val="22"/>
                <w:u w:val="single"/>
              </w:rPr>
              <w:t>£</w:t>
            </w:r>
            <w:r w:rsidR="00D77B95">
              <w:rPr>
                <w:rFonts w:cs="Arial"/>
                <w:b/>
                <w:sz w:val="22"/>
                <w:szCs w:val="22"/>
                <w:u w:val="single"/>
              </w:rPr>
              <w:t xml:space="preserve">  3604</w:t>
            </w:r>
          </w:p>
          <w:p w:rsidR="00D77B95" w:rsidRPr="00F378A3" w:rsidRDefault="00D77B95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£36822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851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47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whilst learning new skills and working collaboratively with others. 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171713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713" w:rsidRP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Cultural awareness increased through Theatre, Museum and Ballet.</w:t>
            </w:r>
          </w:p>
          <w:p w:rsidR="00171713" w:rsidRP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</w:t>
            </w:r>
          </w:p>
        </w:tc>
        <w:tc>
          <w:tcPr>
            <w:tcW w:w="850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46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Children will develop socially and benefit from raised self-esteem with confidence in their own abilities whilst learning new skills and working collaboratively with others. </w:t>
            </w:r>
          </w:p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Club/Textile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Games Club</w:t>
            </w:r>
            <w:r w:rsidR="0004745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Maths Club</w:t>
            </w:r>
          </w:p>
          <w:p w:rsidR="00613F42" w:rsidRDefault="004B7655" w:rsidP="000474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 Group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171713" w:rsidRP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Dementia Home </w:t>
            </w:r>
            <w:r w:rsidR="00FE71D1">
              <w:rPr>
                <w:rFonts w:cs="Arial"/>
                <w:sz w:val="22"/>
                <w:szCs w:val="22"/>
              </w:rPr>
              <w:t>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and attainment of eligible pupils will be in line with non-eligible pupils. Pupil’s take pride in their own creativity, their acquired life skills and their care of the environment which reflects in their confidence and impacts on their progress.</w:t>
            </w:r>
          </w:p>
          <w:p w:rsidR="00FB1286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B1286" w:rsidRPr="00A07E80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Progress data</w:t>
            </w:r>
          </w:p>
        </w:tc>
        <w:tc>
          <w:tcPr>
            <w:tcW w:w="850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595420" w:rsidRPr="00326C32" w:rsidTr="00D01E30">
        <w:trPr>
          <w:trHeight w:hRule="exact" w:val="236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r>
              <w:t>Continue to deliver speech and language support from entry to school in the EYFS and throughout the year groups.</w:t>
            </w:r>
          </w:p>
          <w:p w:rsidR="00595420" w:rsidRDefault="00595420" w:rsidP="00595420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Language Links</w:t>
            </w:r>
          </w:p>
          <w:p w:rsidR="0059542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595420" w:rsidRPr="00A07E80" w:rsidRDefault="0059542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9542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Language Links data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</w:tc>
        <w:tc>
          <w:tcPr>
            <w:tcW w:w="850" w:type="dxa"/>
          </w:tcPr>
          <w:p w:rsidR="0059542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FE71D1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</w:tc>
        <w:tc>
          <w:tcPr>
            <w:tcW w:w="2552" w:type="dxa"/>
          </w:tcPr>
          <w:p w:rsidR="00595420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D73BFB" w:rsidRPr="00326C32" w:rsidTr="00D01E30">
        <w:trPr>
          <w:trHeight w:hRule="exact" w:val="334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D73BFB" w:rsidRDefault="00D73BFB" w:rsidP="00FB1286">
            <w:r>
              <w:t xml:space="preserve">To engage all children with a love of music to create a whole school production </w:t>
            </w:r>
            <w:r w:rsidR="00FB1286">
              <w:t>M</w:t>
            </w:r>
            <w:r>
              <w:t xml:space="preserve">usical </w:t>
            </w:r>
            <w:r w:rsidR="00FB1286">
              <w:t>J</w:t>
            </w:r>
            <w:r>
              <w:t>igsaw.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73BFB" w:rsidRDefault="00D10673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staff workshops and in class training focused on high quality staff CPD.</w:t>
            </w:r>
          </w:p>
          <w:p w:rsidR="00D73BFB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eligible Y2 pupil premium children will engage in set designing and building, script writing, musical composition and performance.   </w:t>
            </w: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Pr="00A07E80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D73BFB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Monitoring through observation 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performance, enjoyment</w:t>
            </w:r>
            <w:r w:rsidR="00E93707">
              <w:rPr>
                <w:rFonts w:cs="Arial"/>
                <w:sz w:val="22"/>
                <w:szCs w:val="22"/>
              </w:rPr>
              <w:t xml:space="preserve"> and confidence building.</w:t>
            </w:r>
          </w:p>
        </w:tc>
        <w:tc>
          <w:tcPr>
            <w:tcW w:w="850" w:type="dxa"/>
          </w:tcPr>
          <w:p w:rsidR="00D73BFB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D73BFB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FE71D1" w:rsidRPr="00326C32" w:rsidTr="00D01E30">
        <w:trPr>
          <w:trHeight w:hRule="exact" w:val="2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FE71D1" w:rsidRDefault="00FE71D1" w:rsidP="00E93707">
            <w:r>
              <w:lastRenderedPageBreak/>
              <w:t>Investment in the pastoral element of being a church school will improve children’s engagement in the curriculum and allow the</w:t>
            </w:r>
            <w:r w:rsidR="00E93707">
              <w:t>m</w:t>
            </w:r>
            <w:r>
              <w:t xml:space="preserve"> to access the curriculum more effectively.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E71D1" w:rsidRDefault="00FE71D1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Reflective areas in class and in the outdoor area including Willow Weaving. 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FE71D1" w:rsidRDefault="00FE71D1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children and families will have a positive impact on the attendance of pupil premium children.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FE71D1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of attendance and attendance data.</w:t>
            </w:r>
          </w:p>
        </w:tc>
        <w:tc>
          <w:tcPr>
            <w:tcW w:w="850" w:type="dxa"/>
          </w:tcPr>
          <w:p w:rsidR="00FE71D1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DC</w:t>
            </w:r>
          </w:p>
        </w:tc>
        <w:tc>
          <w:tcPr>
            <w:tcW w:w="2552" w:type="dxa"/>
          </w:tcPr>
          <w:p w:rsidR="00FE71D1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A07E80" w:rsidRPr="00326C32" w:rsidTr="00D01E30">
        <w:trPr>
          <w:trHeight w:hRule="exact" w:val="446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Total budgeted cost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Learning Outside the Classroom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Clubs/Groups/Family Learning/Dementia Home Liaison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Language Links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Social Singing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Specialist Music Teacher</w:t>
            </w:r>
          </w:p>
          <w:p w:rsid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Reflective Areas</w:t>
            </w: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 for 2018/19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78A3" w:rsidRDefault="00F378A3" w:rsidP="00F378A3">
            <w:pPr>
              <w:pStyle w:val="NoSpacing"/>
              <w:jc w:val="both"/>
            </w:pPr>
          </w:p>
          <w:p w:rsidR="00F378A3" w:rsidRDefault="00F378A3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E06AB8" w:rsidRPr="00A07E80" w:rsidRDefault="00E06AB8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Expected Budget 2018/19</w:t>
            </w:r>
          </w:p>
        </w:tc>
        <w:tc>
          <w:tcPr>
            <w:tcW w:w="2552" w:type="dxa"/>
          </w:tcPr>
          <w:p w:rsidR="00A07E80" w:rsidRDefault="00A07E80" w:rsidP="00F378A3">
            <w:pPr>
              <w:pStyle w:val="NoSpacing"/>
            </w:pPr>
          </w:p>
          <w:p w:rsidR="00F378A3" w:rsidRDefault="00F378A3" w:rsidP="00F378A3">
            <w:pPr>
              <w:pStyle w:val="NoSpacing"/>
            </w:pP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</w:t>
            </w:r>
            <w:r w:rsidR="00D77B95">
              <w:rPr>
                <w:b/>
              </w:rPr>
              <w:t>1300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D77B95">
              <w:rPr>
                <w:b/>
              </w:rPr>
              <w:t xml:space="preserve"> 4996</w:t>
            </w:r>
            <w:r>
              <w:rPr>
                <w:b/>
              </w:rPr>
              <w:t xml:space="preserve">  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2526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  225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2000</w:t>
            </w:r>
          </w:p>
          <w:p w:rsidR="00F378A3" w:rsidRDefault="00F378A3" w:rsidP="00F378A3">
            <w:pPr>
              <w:pStyle w:val="NoSpacing"/>
              <w:rPr>
                <w:b/>
                <w:u w:val="single"/>
              </w:rPr>
            </w:pPr>
            <w:r w:rsidRPr="00D77B95">
              <w:rPr>
                <w:b/>
                <w:u w:val="single"/>
              </w:rPr>
              <w:t>£</w:t>
            </w:r>
            <w:r w:rsidR="00D77B95" w:rsidRPr="00D77B95">
              <w:rPr>
                <w:b/>
                <w:u w:val="single"/>
              </w:rPr>
              <w:t xml:space="preserve">    200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£11247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</w:p>
          <w:p w:rsidR="00D77B95" w:rsidRDefault="00D77B95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£36822</w:t>
            </w:r>
          </w:p>
          <w:p w:rsidR="00D77B95" w:rsidRDefault="00D77B95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£13964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£11247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£62033</w:t>
            </w:r>
          </w:p>
          <w:p w:rsidR="00E06AB8" w:rsidRDefault="00E06AB8" w:rsidP="00F378A3">
            <w:pPr>
              <w:pStyle w:val="NoSpacing"/>
              <w:rPr>
                <w:b/>
                <w:u w:val="single"/>
              </w:rPr>
            </w:pPr>
          </w:p>
          <w:p w:rsidR="00E06AB8" w:rsidRPr="00E06AB8" w:rsidRDefault="00E06AB8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£62040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</w:p>
          <w:p w:rsidR="00F378A3" w:rsidRPr="00A07E80" w:rsidRDefault="00F378A3" w:rsidP="00F378A3">
            <w:pPr>
              <w:pStyle w:val="NoSpacing"/>
            </w:pP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  </w:t>
            </w:r>
            <w:r w:rsidR="00A07E80" w:rsidRPr="000F736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 xml:space="preserve">eview Expenditure </w:t>
            </w:r>
            <w:r w:rsidR="00A07E80" w:rsidRPr="000F7361">
              <w:rPr>
                <w:rFonts w:cs="Arial"/>
                <w:b/>
              </w:rPr>
              <w:t xml:space="preserve"> </w:t>
            </w:r>
            <w:r w:rsidRPr="000F7361">
              <w:rPr>
                <w:rFonts w:cs="Arial"/>
                <w:b/>
              </w:rPr>
              <w:t>(Previous Academic Year 2017/2018)</w:t>
            </w:r>
            <w:r w:rsidR="00A07E80" w:rsidRPr="000F7361">
              <w:rPr>
                <w:rFonts w:cs="Arial"/>
                <w:b/>
              </w:rPr>
              <w:t xml:space="preserve"> 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FB128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</w:t>
            </w:r>
            <w:r w:rsidR="00A07E80" w:rsidRPr="00A07E80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8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engage all children in a love of music with </w:t>
            </w:r>
            <w:r w:rsidR="00FB1286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Year 2 children writing and performing </w:t>
            </w:r>
            <w:r w:rsidR="00FB1286">
              <w:rPr>
                <w:rFonts w:cs="Arial"/>
                <w:sz w:val="22"/>
                <w:szCs w:val="22"/>
              </w:rPr>
              <w:t xml:space="preserve">an </w:t>
            </w:r>
            <w:r>
              <w:rPr>
                <w:rFonts w:cs="Arial"/>
                <w:sz w:val="22"/>
                <w:szCs w:val="22"/>
              </w:rPr>
              <w:t>opera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Performances at the </w:t>
            </w:r>
            <w:proofErr w:type="spellStart"/>
            <w:r>
              <w:rPr>
                <w:rFonts w:cs="Arial"/>
                <w:sz w:val="22"/>
                <w:szCs w:val="22"/>
              </w:rPr>
              <w:t>Evron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Centre, </w:t>
            </w:r>
            <w:proofErr w:type="spellStart"/>
            <w:r>
              <w:rPr>
                <w:rFonts w:cs="Arial"/>
                <w:sz w:val="22"/>
                <w:szCs w:val="22"/>
              </w:rPr>
              <w:t>Filey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22</w:t>
            </w:r>
            <w:r w:rsidRPr="008A76F9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March 2018 for parents and invited guests including the Town Mayor boosting confidence and well-being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FB128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A07E80" w:rsidRPr="00A07E80" w:rsidRDefault="00184A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£2360</w:t>
            </w:r>
          </w:p>
        </w:tc>
      </w:tr>
      <w:tr w:rsidR="00A07E80" w:rsidRPr="00326C32" w:rsidTr="00D01E30">
        <w:trPr>
          <w:trHeight w:hRule="exact" w:val="234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Investment in the pastoral element of being a Church School will improve children’s engagement in the curriculum and allow them to access the curriculum more effectively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8A76F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Reflective areas in class and the outdoor area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the children has shown increased attendance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184A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£450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184A13" w:rsidRDefault="005E0FFC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£2810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1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E</w:t>
            </w:r>
            <w:r w:rsidR="00E25F56">
              <w:rPr>
                <w:rFonts w:cs="Arial"/>
                <w:sz w:val="22"/>
                <w:szCs w:val="22"/>
              </w:rPr>
              <w:t>njoyment</w:t>
            </w:r>
            <w:r>
              <w:rPr>
                <w:rFonts w:cs="Arial"/>
                <w:sz w:val="22"/>
                <w:szCs w:val="22"/>
              </w:rPr>
              <w:t xml:space="preserve"> and engagement in the curriculum will impact on </w:t>
            </w:r>
            <w:r w:rsidR="00E25F56">
              <w:rPr>
                <w:rFonts w:cs="Arial"/>
                <w:sz w:val="22"/>
                <w:szCs w:val="22"/>
              </w:rPr>
              <w:t xml:space="preserve">pupil </w:t>
            </w:r>
            <w:r>
              <w:rPr>
                <w:rFonts w:cs="Arial"/>
                <w:sz w:val="22"/>
                <w:szCs w:val="22"/>
              </w:rPr>
              <w:t>attainment</w:t>
            </w:r>
            <w:r w:rsidR="00E25F5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Rock Pooling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8A76F9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Dementia Home 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Children’s well-being</w:t>
            </w:r>
            <w:r w:rsidR="00E25F56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enjoyment of the experience will impact on the attainment of eligible pupils bringing them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B7216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attainment for the academic year 2017/2018 showed end of Year 2 results: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8A76F9" w:rsidTr="008A76F9">
              <w:tc>
                <w:tcPr>
                  <w:tcW w:w="581" w:type="dxa"/>
                </w:tcPr>
                <w:p w:rsidR="008A76F9" w:rsidRPr="008A76F9" w:rsidRDefault="008A76F9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81%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</w:tr>
            <w:tr w:rsidR="008A76F9" w:rsidTr="00CB5FF9">
              <w:tc>
                <w:tcPr>
                  <w:tcW w:w="2326" w:type="dxa"/>
                  <w:gridSpan w:val="4"/>
                </w:tcPr>
                <w:p w:rsidR="008A76F9" w:rsidRDefault="008A76F9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>Pupil Premium children achieving the expected standard or above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6C49F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Tr="008A76F9">
              <w:tc>
                <w:tcPr>
                  <w:tcW w:w="581" w:type="dxa"/>
                </w:tcPr>
                <w:p w:rsidR="00EB7216" w:rsidRDefault="00EB7216" w:rsidP="006C49F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71%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74%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</w:tr>
            <w:tr w:rsidR="00EB7216" w:rsidTr="0018089C">
              <w:tc>
                <w:tcPr>
                  <w:tcW w:w="2326" w:type="dxa"/>
                  <w:gridSpan w:val="4"/>
                </w:tcPr>
                <w:p w:rsidR="00EB7216" w:rsidRDefault="00EB7216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 Pupil Premium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children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171FBA" w:rsidRPr="00EB7216" w:rsidRDefault="00E25F56" w:rsidP="00171FBA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Achieving the expected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standard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or above.</w:t>
                  </w:r>
                </w:p>
              </w:tc>
            </w:tr>
          </w:tbl>
          <w:p w:rsidR="008A76F9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5E0FFC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£6144.46</w:t>
            </w:r>
          </w:p>
        </w:tc>
      </w:tr>
      <w:tr w:rsidR="00A07E80" w:rsidRPr="00326C32" w:rsidTr="00D01E30">
        <w:trPr>
          <w:trHeight w:hRule="exact" w:val="4328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To Improve progress and attainment for disadvantaged groups in all year groups.</w:t>
            </w:r>
          </w:p>
          <w:p w:rsidR="00EB7216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Numbers Count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Maths Booster Group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EB7216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Phonics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 Readers</w:t>
            </w:r>
          </w:p>
          <w:p w:rsidR="005E0FFC" w:rsidRDefault="005E0FFC" w:rsidP="00EB721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ECaT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(1&amp;2)</w:t>
            </w:r>
          </w:p>
          <w:p w:rsidR="00EB7216" w:rsidRPr="00A07E80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for the academic year 2017/2018 showed end of Year 2 results: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EB7216" w:rsidRPr="00EB7216" w:rsidTr="00AF42AB">
              <w:tc>
                <w:tcPr>
                  <w:tcW w:w="581" w:type="dxa"/>
                </w:tcPr>
                <w:p w:rsidR="00EB7216" w:rsidRPr="008A76F9" w:rsidRDefault="00EB7216" w:rsidP="00EB721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91</w:t>
                  </w:r>
                  <w:r w:rsidRP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EB7216" w:rsidTr="00AF42AB">
              <w:tc>
                <w:tcPr>
                  <w:tcW w:w="2326" w:type="dxa"/>
                  <w:gridSpan w:val="4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 xml:space="preserve">Pupil Premium children </w:t>
                  </w:r>
                  <w:r>
                    <w:rPr>
                      <w:rFonts w:cs="Arial"/>
                      <w:sz w:val="16"/>
                      <w:szCs w:val="16"/>
                    </w:rPr>
                    <w:t>making expected or more than expected progress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88%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87%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83%</w:t>
                  </w:r>
                </w:p>
              </w:tc>
            </w:tr>
            <w:tr w:rsidR="00EB7216" w:rsidRPr="00EB7216" w:rsidTr="00AF42AB">
              <w:tc>
                <w:tcPr>
                  <w:tcW w:w="2326" w:type="dxa"/>
                  <w:gridSpan w:val="4"/>
                </w:tcPr>
                <w:p w:rsidR="00EB7216" w:rsidRPr="00EB7216" w:rsidRDefault="00EB7216" w:rsidP="00E25F5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 Pupil Premium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children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making expected or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more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 xml:space="preserve">than </w:t>
                  </w:r>
                  <w:r>
                    <w:rPr>
                      <w:rFonts w:cs="Arial"/>
                      <w:sz w:val="16"/>
                      <w:szCs w:val="16"/>
                    </w:rPr>
                    <w:t>expected progress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EB7216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5E0FFC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171FBA">
              <w:rPr>
                <w:rFonts w:cs="Arial"/>
                <w:sz w:val="22"/>
                <w:szCs w:val="22"/>
              </w:rPr>
              <w:t>48856.05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5E0FFC" w:rsidRDefault="005E0FFC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171FBA">
              <w:rPr>
                <w:rFonts w:cs="Arial"/>
                <w:b/>
                <w:sz w:val="22"/>
                <w:szCs w:val="22"/>
              </w:rPr>
              <w:t>48856.05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1127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9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171FBA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="00E25F56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mprove progress and attainment for disadvantaged groups in all year groups.</w:t>
            </w:r>
          </w:p>
          <w:p w:rsidR="00A07E80" w:rsidRPr="00A07E80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SJT Behaviour Outreach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</w:t>
            </w:r>
          </w:p>
          <w:p w:rsidR="00171FBA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See above pupil premium progress compared with non-pupil premium progress.  </w:t>
            </w:r>
          </w:p>
        </w:tc>
        <w:tc>
          <w:tcPr>
            <w:tcW w:w="850" w:type="dxa"/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£6683.94</w:t>
            </w:r>
          </w:p>
        </w:tc>
      </w:tr>
      <w:tr w:rsidR="00A07E80" w:rsidRPr="00326C32" w:rsidTr="00D01E30">
        <w:trPr>
          <w:trHeight w:hRule="exact" w:val="848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Default="00A07E80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E06AB8" w:rsidRPr="00A07E80" w:rsidRDefault="00E06AB8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2017/18 Budget</w:t>
            </w:r>
          </w:p>
        </w:tc>
        <w:tc>
          <w:tcPr>
            <w:tcW w:w="2552" w:type="dxa"/>
          </w:tcPr>
          <w:p w:rsidR="00A07E80" w:rsidRDefault="00171FBA" w:rsidP="006C49F6">
            <w:pPr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E06AB8">
              <w:rPr>
                <w:rFonts w:cs="Arial"/>
                <w:b/>
                <w:sz w:val="22"/>
                <w:szCs w:val="22"/>
              </w:rPr>
              <w:t>58349.99</w:t>
            </w:r>
          </w:p>
          <w:p w:rsidR="00E06AB8" w:rsidRPr="00A07E80" w:rsidRDefault="00E06AB8" w:rsidP="006C49F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£58080</w:t>
            </w:r>
          </w:p>
        </w:tc>
      </w:tr>
    </w:tbl>
    <w:p w:rsidR="00C21F62" w:rsidRDefault="00C21F62"/>
    <w:sectPr w:rsidR="00C21F62" w:rsidSect="00FA5A25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CD"/>
    <w:multiLevelType w:val="multilevel"/>
    <w:tmpl w:val="865E4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902"/>
    <w:multiLevelType w:val="hybridMultilevel"/>
    <w:tmpl w:val="5F3E298A"/>
    <w:lvl w:ilvl="0" w:tplc="6D000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39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9846B1"/>
    <w:multiLevelType w:val="multilevel"/>
    <w:tmpl w:val="4AB22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2"/>
    <w:rsid w:val="00047456"/>
    <w:rsid w:val="000D237A"/>
    <w:rsid w:val="000F7361"/>
    <w:rsid w:val="00123569"/>
    <w:rsid w:val="00161442"/>
    <w:rsid w:val="00171713"/>
    <w:rsid w:val="00171FBA"/>
    <w:rsid w:val="00184A13"/>
    <w:rsid w:val="00312108"/>
    <w:rsid w:val="003440F7"/>
    <w:rsid w:val="003A7444"/>
    <w:rsid w:val="003B2D2F"/>
    <w:rsid w:val="003C0991"/>
    <w:rsid w:val="0048522A"/>
    <w:rsid w:val="004B7655"/>
    <w:rsid w:val="00503BC8"/>
    <w:rsid w:val="00595420"/>
    <w:rsid w:val="005E0FFC"/>
    <w:rsid w:val="00613F42"/>
    <w:rsid w:val="006372ED"/>
    <w:rsid w:val="0068793A"/>
    <w:rsid w:val="00721359"/>
    <w:rsid w:val="008A76F9"/>
    <w:rsid w:val="008B3CA2"/>
    <w:rsid w:val="00973735"/>
    <w:rsid w:val="00A07E80"/>
    <w:rsid w:val="00A86ADE"/>
    <w:rsid w:val="00A86E9F"/>
    <w:rsid w:val="00B405FE"/>
    <w:rsid w:val="00B629FE"/>
    <w:rsid w:val="00C21BB1"/>
    <w:rsid w:val="00C21F62"/>
    <w:rsid w:val="00CA1A94"/>
    <w:rsid w:val="00D01E30"/>
    <w:rsid w:val="00D10673"/>
    <w:rsid w:val="00D73BFB"/>
    <w:rsid w:val="00D77B95"/>
    <w:rsid w:val="00E06AB8"/>
    <w:rsid w:val="00E25F56"/>
    <w:rsid w:val="00E265C3"/>
    <w:rsid w:val="00E93707"/>
    <w:rsid w:val="00EB7216"/>
    <w:rsid w:val="00F378A3"/>
    <w:rsid w:val="00FA5A25"/>
    <w:rsid w:val="00FB128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5406"/>
  <w15:chartTrackingRefBased/>
  <w15:docId w15:val="{2AC97110-9380-43A7-9D2A-171168E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21F62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C21F6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21F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NoSpacing">
    <w:name w:val="No Spacing"/>
    <w:uiPriority w:val="1"/>
    <w:qFormat/>
    <w:rsid w:val="00C21F62"/>
    <w:pPr>
      <w:spacing w:after="0" w:line="24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TableRow">
    <w:name w:val="TableRow"/>
    <w:link w:val="TableRowChar"/>
    <w:qFormat/>
    <w:rsid w:val="00C21F62"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TableRowChar">
    <w:name w:val="TableRow Char"/>
    <w:link w:val="TableRow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2A"/>
    <w:rPr>
      <w:rFonts w:ascii="Segoe UI" w:eastAsia="Times New Roman" w:hAnsi="Segoe UI" w:cs="Segoe UI"/>
      <w:color w:val="0D0D0D" w:themeColor="text1" w:themeTint="F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2019-02-12T11:22:00Z</cp:lastPrinted>
  <dcterms:created xsi:type="dcterms:W3CDTF">2018-10-23T08:02:00Z</dcterms:created>
  <dcterms:modified xsi:type="dcterms:W3CDTF">2019-02-12T11:23:00Z</dcterms:modified>
</cp:coreProperties>
</file>